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16" w:rsidRDefault="00F33E16" w:rsidP="003968BB">
      <w:pPr>
        <w:spacing w:after="0" w:line="24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EE35F5" w:rsidRPr="002B2FF3" w:rsidRDefault="00EE35F5" w:rsidP="003968BB">
      <w:pPr>
        <w:spacing w:after="0" w:line="24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282175" w:rsidRPr="002B2FF3" w:rsidRDefault="00EE35F5" w:rsidP="003968BB">
      <w:pPr>
        <w:pStyle w:val="Textodenotaderodap"/>
        <w:spacing w:after="0"/>
        <w:ind w:firstLine="851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LEI Nº 2.959/2021</w:t>
      </w:r>
    </w:p>
    <w:p w:rsidR="00F33E16" w:rsidRPr="002B2FF3" w:rsidRDefault="00F33E16" w:rsidP="00897522">
      <w:pPr>
        <w:pStyle w:val="Recuodecorpodetexto"/>
        <w:spacing w:after="0" w:line="240" w:lineRule="auto"/>
        <w:ind w:left="4820"/>
        <w:jc w:val="both"/>
        <w:rPr>
          <w:rFonts w:asciiTheme="minorHAnsi" w:hAnsiTheme="minorHAnsi" w:cs="Calibri"/>
          <w:b/>
          <w:i/>
          <w:sz w:val="24"/>
          <w:szCs w:val="24"/>
        </w:rPr>
      </w:pPr>
    </w:p>
    <w:p w:rsidR="00AF57BF" w:rsidRPr="002B2FF3" w:rsidRDefault="00F33E16" w:rsidP="002B2FF3">
      <w:pPr>
        <w:pStyle w:val="Recuodecorpodetexto"/>
        <w:spacing w:after="0" w:line="240" w:lineRule="auto"/>
        <w:ind w:left="4820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2B2FF3">
        <w:rPr>
          <w:rFonts w:asciiTheme="minorHAnsi" w:hAnsiTheme="minorHAnsi" w:cs="Calibri"/>
          <w:b/>
          <w:i/>
          <w:sz w:val="24"/>
          <w:szCs w:val="24"/>
        </w:rPr>
        <w:t>REVOGA</w:t>
      </w:r>
      <w:r w:rsidR="00897522" w:rsidRPr="002B2FF3">
        <w:rPr>
          <w:rFonts w:asciiTheme="minorHAnsi" w:hAnsiTheme="minorHAnsi" w:cs="Calibri"/>
          <w:b/>
          <w:i/>
          <w:sz w:val="24"/>
          <w:szCs w:val="24"/>
        </w:rPr>
        <w:t xml:space="preserve"> </w:t>
      </w:r>
      <w:r w:rsidR="00F90923" w:rsidRPr="002B2FF3">
        <w:rPr>
          <w:rFonts w:asciiTheme="minorHAnsi" w:hAnsiTheme="minorHAnsi" w:cs="Calibri"/>
          <w:b/>
          <w:i/>
          <w:sz w:val="24"/>
          <w:szCs w:val="24"/>
        </w:rPr>
        <w:t xml:space="preserve">E ALTERA </w:t>
      </w:r>
      <w:r w:rsidR="00897522" w:rsidRPr="002B2FF3">
        <w:rPr>
          <w:rFonts w:asciiTheme="minorHAnsi" w:hAnsiTheme="minorHAnsi" w:cs="Calibri"/>
          <w:b/>
          <w:i/>
          <w:sz w:val="24"/>
          <w:szCs w:val="24"/>
        </w:rPr>
        <w:t>DISPOSITIVO</w:t>
      </w:r>
      <w:r w:rsidRPr="002B2FF3">
        <w:rPr>
          <w:rFonts w:asciiTheme="minorHAnsi" w:hAnsiTheme="minorHAnsi" w:cs="Calibri"/>
          <w:b/>
          <w:i/>
          <w:sz w:val="24"/>
          <w:szCs w:val="24"/>
        </w:rPr>
        <w:t>S</w:t>
      </w:r>
      <w:r w:rsidR="00897522" w:rsidRPr="002B2FF3">
        <w:rPr>
          <w:rFonts w:asciiTheme="minorHAnsi" w:hAnsiTheme="minorHAnsi" w:cs="Calibri"/>
          <w:b/>
          <w:i/>
          <w:sz w:val="24"/>
          <w:szCs w:val="24"/>
        </w:rPr>
        <w:t xml:space="preserve"> </w:t>
      </w:r>
      <w:r w:rsidR="00282175" w:rsidRPr="002B2FF3">
        <w:rPr>
          <w:rFonts w:asciiTheme="minorHAnsi" w:hAnsiTheme="minorHAnsi" w:cs="Calibri"/>
          <w:b/>
          <w:i/>
          <w:sz w:val="24"/>
          <w:szCs w:val="24"/>
        </w:rPr>
        <w:t>DA LEI MUNICIPAL Nº. 1.536, DE 12 DE JULHO DE</w:t>
      </w:r>
      <w:r w:rsidR="002B2FF3">
        <w:rPr>
          <w:rFonts w:asciiTheme="minorHAnsi" w:hAnsiTheme="minorHAnsi" w:cs="Calibri"/>
          <w:b/>
          <w:i/>
          <w:sz w:val="24"/>
          <w:szCs w:val="24"/>
        </w:rPr>
        <w:t xml:space="preserve"> 2005, E DÁ OUTRAS </w:t>
      </w:r>
      <w:r w:rsidR="00EE35F5">
        <w:rPr>
          <w:rFonts w:asciiTheme="minorHAnsi" w:hAnsiTheme="minorHAnsi" w:cs="Calibri"/>
          <w:b/>
          <w:i/>
          <w:sz w:val="24"/>
          <w:szCs w:val="24"/>
        </w:rPr>
        <w:t>PROVIDÊNCIAS.</w:t>
      </w:r>
    </w:p>
    <w:p w:rsidR="00CA4BCE" w:rsidRPr="00EE35F5" w:rsidRDefault="00CA4BCE" w:rsidP="003968BB">
      <w:pPr>
        <w:spacing w:after="0" w:line="240" w:lineRule="auto"/>
        <w:ind w:firstLine="851"/>
        <w:rPr>
          <w:rFonts w:asciiTheme="minorHAnsi" w:hAnsiTheme="minorHAnsi" w:cs="Calibri"/>
          <w:b/>
          <w:bCs/>
          <w:sz w:val="24"/>
          <w:szCs w:val="24"/>
        </w:rPr>
      </w:pPr>
    </w:p>
    <w:p w:rsidR="00EE35F5" w:rsidRDefault="00EE35F5" w:rsidP="00EE35F5">
      <w:pPr>
        <w:spacing w:after="0"/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EE35F5">
        <w:rPr>
          <w:rFonts w:asciiTheme="minorHAnsi" w:hAnsiTheme="minorHAnsi" w:cs="Arial"/>
          <w:b/>
          <w:bCs/>
          <w:sz w:val="24"/>
          <w:szCs w:val="24"/>
        </w:rPr>
        <w:t>JOSÉ ROBERTO</w:t>
      </w:r>
      <w:r w:rsidRPr="00EE35F5">
        <w:rPr>
          <w:rFonts w:asciiTheme="minorHAnsi" w:hAnsiTheme="minorHAnsi" w:cs="Arial"/>
          <w:sz w:val="24"/>
          <w:szCs w:val="24"/>
        </w:rPr>
        <w:t xml:space="preserve">, Prefeito de São Miguel das Missões, Estado do Rio Grande do Sul, no uso das atribuições que são conferidas por Lei Orgânica do Município, </w:t>
      </w:r>
      <w:r w:rsidRPr="00EE35F5">
        <w:rPr>
          <w:rFonts w:asciiTheme="minorHAnsi" w:hAnsiTheme="minorHAnsi" w:cs="Arial"/>
          <w:b/>
          <w:bCs/>
          <w:sz w:val="24"/>
          <w:szCs w:val="24"/>
        </w:rPr>
        <w:t>FAÇO SABER</w:t>
      </w:r>
      <w:r>
        <w:rPr>
          <w:rFonts w:asciiTheme="minorHAnsi" w:hAnsiTheme="minorHAnsi" w:cs="Arial"/>
          <w:sz w:val="24"/>
          <w:szCs w:val="24"/>
        </w:rPr>
        <w:t xml:space="preserve"> que a Câma</w:t>
      </w:r>
      <w:r w:rsidRPr="00EE35F5">
        <w:rPr>
          <w:rFonts w:asciiTheme="minorHAnsi" w:hAnsiTheme="minorHAnsi" w:cs="Arial"/>
          <w:sz w:val="24"/>
          <w:szCs w:val="24"/>
        </w:rPr>
        <w:t>ra de Vereadores aprovou e eu sanciono a seguinte:</w:t>
      </w:r>
    </w:p>
    <w:p w:rsidR="00F90923" w:rsidRDefault="00EE35F5" w:rsidP="00EE35F5">
      <w:pPr>
        <w:spacing w:after="0"/>
        <w:ind w:left="86" w:firstLine="622"/>
        <w:jc w:val="both"/>
        <w:rPr>
          <w:rFonts w:asciiTheme="minorHAnsi" w:hAnsiTheme="minorHAnsi" w:cs="Arial"/>
          <w:sz w:val="24"/>
          <w:szCs w:val="24"/>
        </w:rPr>
      </w:pPr>
      <w:r w:rsidRPr="00EE35F5">
        <w:rPr>
          <w:rFonts w:asciiTheme="minorHAnsi" w:hAnsiTheme="minorHAnsi" w:cs="Arial"/>
          <w:b/>
          <w:bCs/>
          <w:sz w:val="24"/>
          <w:szCs w:val="24"/>
        </w:rPr>
        <w:t>LEI</w:t>
      </w:r>
      <w:r>
        <w:rPr>
          <w:rFonts w:asciiTheme="minorHAnsi" w:hAnsiTheme="minorHAnsi" w:cs="Arial"/>
          <w:sz w:val="24"/>
          <w:szCs w:val="24"/>
        </w:rPr>
        <w:t>:</w:t>
      </w:r>
    </w:p>
    <w:p w:rsidR="00EE35F5" w:rsidRPr="00EE35F5" w:rsidRDefault="00EE35F5" w:rsidP="00EE35F5">
      <w:pPr>
        <w:spacing w:after="0"/>
        <w:ind w:left="86" w:firstLine="622"/>
        <w:jc w:val="both"/>
        <w:rPr>
          <w:rFonts w:asciiTheme="minorHAnsi" w:hAnsiTheme="minorHAnsi" w:cs="Arial"/>
          <w:sz w:val="24"/>
          <w:szCs w:val="24"/>
        </w:rPr>
      </w:pPr>
    </w:p>
    <w:p w:rsidR="00F90923" w:rsidRPr="002B2FF3" w:rsidRDefault="008A2FE6" w:rsidP="00EE35F5">
      <w:pPr>
        <w:spacing w:after="0" w:line="240" w:lineRule="auto"/>
        <w:ind w:firstLine="851"/>
        <w:jc w:val="both"/>
        <w:rPr>
          <w:rFonts w:asciiTheme="minorHAnsi" w:hAnsiTheme="minorHAnsi"/>
          <w:i/>
          <w:sz w:val="24"/>
          <w:szCs w:val="24"/>
        </w:rPr>
      </w:pPr>
      <w:r w:rsidRPr="002B2FF3">
        <w:rPr>
          <w:rFonts w:asciiTheme="minorHAnsi" w:hAnsiTheme="minorHAnsi" w:cs="Calibri"/>
          <w:b/>
          <w:sz w:val="24"/>
          <w:szCs w:val="24"/>
        </w:rPr>
        <w:t>A</w:t>
      </w:r>
      <w:r w:rsidRPr="002B2FF3">
        <w:rPr>
          <w:rFonts w:asciiTheme="minorHAnsi" w:hAnsiTheme="minorHAnsi" w:cs="Calibri"/>
          <w:b/>
          <w:bCs/>
          <w:sz w:val="24"/>
          <w:szCs w:val="24"/>
        </w:rPr>
        <w:t xml:space="preserve">rt. </w:t>
      </w:r>
      <w:r w:rsidR="00F90923" w:rsidRPr="002B2FF3">
        <w:rPr>
          <w:rFonts w:asciiTheme="minorHAnsi" w:hAnsiTheme="minorHAnsi" w:cs="Calibri"/>
          <w:b/>
          <w:bCs/>
          <w:sz w:val="24"/>
          <w:szCs w:val="24"/>
        </w:rPr>
        <w:t>1</w:t>
      </w:r>
      <w:r w:rsidRPr="002B2FF3">
        <w:rPr>
          <w:rFonts w:asciiTheme="minorHAnsi" w:hAnsiTheme="minorHAnsi" w:cs="Calibri"/>
          <w:b/>
          <w:bCs/>
          <w:sz w:val="24"/>
          <w:szCs w:val="24"/>
        </w:rPr>
        <w:t>º</w:t>
      </w:r>
      <w:r w:rsidRPr="002B2FF3">
        <w:rPr>
          <w:rFonts w:asciiTheme="minorHAnsi" w:hAnsiTheme="minorHAnsi" w:cs="Calibri"/>
          <w:sz w:val="24"/>
          <w:szCs w:val="24"/>
        </w:rPr>
        <w:t> </w:t>
      </w:r>
      <w:r w:rsidR="00F33E16" w:rsidRPr="002B2FF3">
        <w:rPr>
          <w:rFonts w:asciiTheme="minorHAnsi" w:hAnsiTheme="minorHAnsi" w:cs="Calibri"/>
          <w:i/>
          <w:sz w:val="24"/>
          <w:szCs w:val="24"/>
        </w:rPr>
        <w:t>-</w:t>
      </w:r>
      <w:r w:rsidRPr="002B2FF3">
        <w:rPr>
          <w:rFonts w:asciiTheme="minorHAnsi" w:hAnsiTheme="minorHAnsi" w:cs="Calibri"/>
          <w:sz w:val="24"/>
          <w:szCs w:val="24"/>
        </w:rPr>
        <w:t xml:space="preserve"> </w:t>
      </w:r>
      <w:r w:rsidR="00F90923" w:rsidRPr="002B2FF3">
        <w:rPr>
          <w:rFonts w:asciiTheme="minorHAnsi" w:hAnsiTheme="minorHAnsi" w:cs="Calibri"/>
          <w:i/>
          <w:sz w:val="24"/>
          <w:szCs w:val="24"/>
        </w:rPr>
        <w:t>O art. 24</w:t>
      </w:r>
      <w:r w:rsidR="00F90923" w:rsidRPr="002B2FF3">
        <w:rPr>
          <w:rFonts w:asciiTheme="minorHAnsi" w:hAnsiTheme="minorHAnsi" w:cs="Calibri"/>
          <w:sz w:val="24"/>
          <w:szCs w:val="24"/>
        </w:rPr>
        <w:t>, da Lei Municipal n</w:t>
      </w:r>
      <w:r w:rsidR="00F90923" w:rsidRPr="002B2FF3">
        <w:rPr>
          <w:rFonts w:asciiTheme="minorHAnsi" w:hAnsiTheme="minorHAnsi" w:cs="Calibri"/>
          <w:i/>
          <w:sz w:val="24"/>
          <w:szCs w:val="24"/>
        </w:rPr>
        <w:t>º 1.536, de 12 de julho de 2005</w:t>
      </w:r>
      <w:r w:rsidR="00F90923" w:rsidRPr="002B2FF3">
        <w:rPr>
          <w:rFonts w:asciiTheme="minorHAnsi" w:hAnsiTheme="minorHAnsi" w:cs="Calibri"/>
          <w:sz w:val="24"/>
          <w:szCs w:val="24"/>
        </w:rPr>
        <w:t>, passam</w:t>
      </w:r>
      <w:r w:rsidR="00F90923" w:rsidRPr="002B2FF3">
        <w:rPr>
          <w:rFonts w:asciiTheme="minorHAnsi" w:hAnsiTheme="minorHAnsi" w:cs="Calibri"/>
          <w:i/>
          <w:sz w:val="24"/>
          <w:szCs w:val="24"/>
        </w:rPr>
        <w:t xml:space="preserve"> </w:t>
      </w:r>
      <w:r w:rsidR="00F90923" w:rsidRPr="002B2FF3">
        <w:rPr>
          <w:rFonts w:asciiTheme="minorHAnsi" w:hAnsiTheme="minorHAnsi" w:cs="Calibri"/>
          <w:sz w:val="24"/>
          <w:szCs w:val="24"/>
        </w:rPr>
        <w:t>a vigorar com</w:t>
      </w:r>
      <w:r w:rsidR="00F90923" w:rsidRPr="002B2FF3">
        <w:rPr>
          <w:rFonts w:asciiTheme="minorHAnsi" w:hAnsiTheme="minorHAnsi" w:cs="Calibri"/>
          <w:i/>
          <w:sz w:val="24"/>
          <w:szCs w:val="24"/>
        </w:rPr>
        <w:t xml:space="preserve"> </w:t>
      </w:r>
      <w:r w:rsidR="00F90923" w:rsidRPr="002B2FF3">
        <w:rPr>
          <w:rFonts w:asciiTheme="minorHAnsi" w:hAnsiTheme="minorHAnsi" w:cs="Calibri"/>
          <w:sz w:val="24"/>
          <w:szCs w:val="24"/>
        </w:rPr>
        <w:t>as seguintes alterações:</w:t>
      </w:r>
    </w:p>
    <w:p w:rsidR="00F90923" w:rsidRPr="002B2FF3" w:rsidRDefault="00F90923" w:rsidP="00F90923">
      <w:pPr>
        <w:pStyle w:val="NormalArial"/>
        <w:ind w:left="0" w:firstLine="0"/>
        <w:rPr>
          <w:rFonts w:asciiTheme="minorHAnsi" w:hAnsiTheme="minorHAnsi" w:cs="Calibri"/>
          <w:i w:val="0"/>
        </w:rPr>
      </w:pP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proofErr w:type="gramStart"/>
      <w:r w:rsidRPr="002B2FF3">
        <w:rPr>
          <w:rFonts w:asciiTheme="minorHAnsi" w:hAnsiTheme="minorHAnsi" w:cs="Calibri"/>
          <w:b/>
          <w:i w:val="0"/>
        </w:rPr>
        <w:t>“Art. 24.</w:t>
      </w:r>
      <w:proofErr w:type="gramEnd"/>
      <w:r w:rsidRPr="002B2FF3">
        <w:rPr>
          <w:rFonts w:asciiTheme="minorHAnsi" w:hAnsiTheme="minorHAnsi" w:cs="Calibri"/>
          <w:i w:val="0"/>
        </w:rPr>
        <w:t xml:space="preserve"> O rol de benefícios previdenciários do RPPS fica limitado às aposentadorias e à pensão por morte, compreendendo as seguintes hipóteses: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I – quanto ao segurado: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a) aposentadoria por incapacidade permanente para o trabalho;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b) aposentadoria compulsória;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c) aposentadoria por idade e tempo de contribuição;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d) aposentadoria por idade;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e) (revogado)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f) (revogado).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g) (revogado).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II – quanto ao dependente: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a) pensão por morte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 w:cs="Calibri"/>
          <w:i w:val="0"/>
        </w:rPr>
        <w:t>b) (revogado).</w:t>
      </w:r>
    </w:p>
    <w:p w:rsidR="00F90923" w:rsidRPr="002B2FF3" w:rsidRDefault="00F90923" w:rsidP="00F90923">
      <w:pPr>
        <w:pStyle w:val="NormalArial"/>
        <w:ind w:left="2268" w:right="0" w:firstLine="0"/>
        <w:rPr>
          <w:rFonts w:asciiTheme="minorHAnsi" w:hAnsiTheme="minorHAnsi" w:cs="Calibri"/>
          <w:i w:val="0"/>
        </w:rPr>
      </w:pPr>
    </w:p>
    <w:p w:rsidR="00F90923" w:rsidRPr="002B2FF3" w:rsidRDefault="00F90923" w:rsidP="00F90923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  <w:r w:rsidRPr="002B2FF3">
        <w:rPr>
          <w:rFonts w:asciiTheme="minorHAnsi" w:hAnsiTheme="minorHAnsi" w:cs="Calibri"/>
          <w:b/>
          <w:sz w:val="24"/>
          <w:szCs w:val="24"/>
        </w:rPr>
        <w:t>A</w:t>
      </w:r>
      <w:r w:rsidRPr="002B2FF3">
        <w:rPr>
          <w:rFonts w:asciiTheme="minorHAnsi" w:hAnsiTheme="minorHAnsi" w:cs="Calibri"/>
          <w:b/>
          <w:bCs/>
          <w:sz w:val="24"/>
          <w:szCs w:val="24"/>
        </w:rPr>
        <w:t>rt. 2º</w:t>
      </w:r>
      <w:bookmarkStart w:id="0" w:name="_GoBack"/>
      <w:bookmarkEnd w:id="0"/>
      <w:r w:rsidRPr="002B2FF3">
        <w:rPr>
          <w:rFonts w:asciiTheme="minorHAnsi" w:hAnsiTheme="minorHAnsi" w:cs="Calibri"/>
          <w:sz w:val="24"/>
          <w:szCs w:val="24"/>
        </w:rPr>
        <w:t xml:space="preserve"> - Ficam </w:t>
      </w:r>
      <w:proofErr w:type="gramStart"/>
      <w:r w:rsidRPr="002B2FF3">
        <w:rPr>
          <w:rFonts w:asciiTheme="minorHAnsi" w:hAnsiTheme="minorHAnsi" w:cs="Calibri"/>
          <w:sz w:val="24"/>
          <w:szCs w:val="24"/>
        </w:rPr>
        <w:t>revogados(</w:t>
      </w:r>
      <w:proofErr w:type="gramEnd"/>
      <w:r w:rsidRPr="002B2FF3">
        <w:rPr>
          <w:rFonts w:asciiTheme="minorHAnsi" w:hAnsiTheme="minorHAnsi" w:cs="Calibri"/>
          <w:sz w:val="24"/>
          <w:szCs w:val="24"/>
        </w:rPr>
        <w:t xml:space="preserve">as) as alíneas “e”, “f”, “g” do inciso I e a alínea “b” do inciso II do Art. 24; os Artigos. 29 </w:t>
      </w:r>
      <w:proofErr w:type="gramStart"/>
      <w:r w:rsidRPr="002B2FF3">
        <w:rPr>
          <w:rFonts w:asciiTheme="minorHAnsi" w:hAnsiTheme="minorHAnsi" w:cs="Calibri"/>
          <w:sz w:val="24"/>
          <w:szCs w:val="24"/>
        </w:rPr>
        <w:t>ao 36</w:t>
      </w:r>
      <w:proofErr w:type="gramEnd"/>
      <w:r w:rsidRPr="002B2FF3">
        <w:rPr>
          <w:rFonts w:asciiTheme="minorHAnsi" w:hAnsiTheme="minorHAnsi" w:cs="Calibri"/>
          <w:sz w:val="24"/>
          <w:szCs w:val="24"/>
        </w:rPr>
        <w:t>; e o Art. 46, ambos da Lei Municipal nº 1.536, de 12 de julho de 2005.</w:t>
      </w:r>
    </w:p>
    <w:p w:rsidR="0089209A" w:rsidRPr="002B2FF3" w:rsidRDefault="0089209A" w:rsidP="00F90923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</w:p>
    <w:p w:rsidR="0089209A" w:rsidRPr="002B2FF3" w:rsidRDefault="0089209A" w:rsidP="00F90923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  <w:r w:rsidRPr="002B2FF3">
        <w:rPr>
          <w:rFonts w:asciiTheme="minorHAnsi" w:hAnsiTheme="minorHAnsi" w:cs="Calibri"/>
          <w:b/>
          <w:sz w:val="24"/>
          <w:szCs w:val="24"/>
        </w:rPr>
        <w:t>A</w:t>
      </w:r>
      <w:r w:rsidRPr="002B2FF3">
        <w:rPr>
          <w:rFonts w:asciiTheme="minorHAnsi" w:hAnsiTheme="minorHAnsi" w:cs="Calibri"/>
          <w:b/>
          <w:bCs/>
          <w:sz w:val="24"/>
          <w:szCs w:val="24"/>
        </w:rPr>
        <w:t>rt. 3º</w:t>
      </w:r>
      <w:r w:rsidRPr="002B2FF3">
        <w:rPr>
          <w:rFonts w:asciiTheme="minorHAnsi" w:hAnsiTheme="minorHAnsi" w:cs="Calibri"/>
          <w:sz w:val="24"/>
          <w:szCs w:val="24"/>
        </w:rPr>
        <w:t xml:space="preserve"> - A aposentadoria por invalidez prevista no art. 24, inciso I, alínea “a” e seção I, bem como o art. 25 da Lei Municipal nº 1.536, de 12 de julho de 2005 passa a se chamar aposentadoria por incapacidade permanente para o trabalho, estando </w:t>
      </w:r>
      <w:proofErr w:type="gramStart"/>
      <w:r w:rsidRPr="002B2FF3">
        <w:rPr>
          <w:rFonts w:asciiTheme="minorHAnsi" w:hAnsiTheme="minorHAnsi" w:cs="Calibri"/>
          <w:sz w:val="24"/>
          <w:szCs w:val="24"/>
        </w:rPr>
        <w:t>mantidas todos os critérios e condições previstas</w:t>
      </w:r>
      <w:proofErr w:type="gramEnd"/>
      <w:r w:rsidRPr="002B2FF3">
        <w:rPr>
          <w:rFonts w:asciiTheme="minorHAnsi" w:hAnsiTheme="minorHAnsi" w:cs="Calibri"/>
          <w:sz w:val="24"/>
          <w:szCs w:val="24"/>
        </w:rPr>
        <w:t xml:space="preserve"> nos referidos artigos para a obtenção do benefício, havendo alteração apenas em sua nomenclatura.</w:t>
      </w:r>
    </w:p>
    <w:p w:rsidR="00282175" w:rsidRPr="002B2FF3" w:rsidRDefault="00282175" w:rsidP="00EE35F5">
      <w:pPr>
        <w:pStyle w:val="NormalArial"/>
        <w:ind w:left="0" w:right="0" w:firstLine="708"/>
        <w:rPr>
          <w:rFonts w:asciiTheme="minorHAnsi" w:hAnsiTheme="minorHAnsi" w:cs="Calibri"/>
          <w:i w:val="0"/>
        </w:rPr>
      </w:pPr>
      <w:r w:rsidRPr="002B2FF3">
        <w:rPr>
          <w:rFonts w:asciiTheme="minorHAnsi" w:hAnsiTheme="minorHAnsi"/>
          <w:i w:val="0"/>
        </w:rPr>
        <w:t>Esta Lei entra em vigor na data de sua publicação.</w:t>
      </w:r>
    </w:p>
    <w:p w:rsidR="00F33E16" w:rsidRPr="002B2FF3" w:rsidRDefault="00F33E16" w:rsidP="00EE35F5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282175" w:rsidRDefault="00282175" w:rsidP="003968BB">
      <w:pPr>
        <w:spacing w:after="0" w:line="240" w:lineRule="auto"/>
        <w:ind w:firstLine="851"/>
        <w:jc w:val="both"/>
        <w:rPr>
          <w:rFonts w:asciiTheme="minorHAnsi" w:hAnsiTheme="minorHAnsi" w:cs="Calibri"/>
          <w:sz w:val="24"/>
          <w:szCs w:val="24"/>
        </w:rPr>
      </w:pPr>
      <w:r w:rsidRPr="002B2FF3">
        <w:rPr>
          <w:rFonts w:asciiTheme="minorHAnsi" w:hAnsiTheme="minorHAnsi" w:cs="Calibri"/>
          <w:sz w:val="24"/>
          <w:szCs w:val="24"/>
        </w:rPr>
        <w:lastRenderedPageBreak/>
        <w:t>Gabinete do Prefeito de São M</w:t>
      </w:r>
      <w:r w:rsidR="00EE35F5">
        <w:rPr>
          <w:rFonts w:asciiTheme="minorHAnsi" w:hAnsiTheme="minorHAnsi" w:cs="Calibri"/>
          <w:sz w:val="24"/>
          <w:szCs w:val="24"/>
        </w:rPr>
        <w:t>iguel das Missões (RS), aos 27 de julho de 2021.</w:t>
      </w:r>
    </w:p>
    <w:p w:rsidR="00EE35F5" w:rsidRDefault="00EE35F5" w:rsidP="00EE35F5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EE35F5" w:rsidRPr="00EE35F5" w:rsidRDefault="00EE35F5" w:rsidP="00EE35F5">
      <w:pPr>
        <w:spacing w:after="0" w:line="240" w:lineRule="auto"/>
        <w:ind w:firstLine="851"/>
        <w:jc w:val="center"/>
        <w:rPr>
          <w:rFonts w:asciiTheme="minorHAnsi" w:hAnsiTheme="minorHAnsi" w:cs="Calibri"/>
          <w:b/>
          <w:sz w:val="24"/>
          <w:szCs w:val="24"/>
        </w:rPr>
      </w:pPr>
      <w:r w:rsidRPr="00EE35F5">
        <w:rPr>
          <w:rFonts w:asciiTheme="minorHAnsi" w:hAnsiTheme="minorHAnsi" w:cs="Calibri"/>
          <w:b/>
          <w:sz w:val="24"/>
          <w:szCs w:val="24"/>
        </w:rPr>
        <w:t>JOSÉ ROBERTO,</w:t>
      </w:r>
    </w:p>
    <w:p w:rsidR="00877D93" w:rsidRPr="00EE35F5" w:rsidRDefault="00EE35F5" w:rsidP="00EE35F5">
      <w:pPr>
        <w:spacing w:after="0" w:line="240" w:lineRule="auto"/>
        <w:ind w:firstLine="851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Prefeito.</w:t>
      </w:r>
    </w:p>
    <w:sectPr w:rsidR="00877D93" w:rsidRPr="00EE35F5" w:rsidSect="00877D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568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E4" w:rsidRDefault="00F67BE4" w:rsidP="0075300D">
      <w:pPr>
        <w:spacing w:after="0" w:line="240" w:lineRule="auto"/>
      </w:pPr>
      <w:r>
        <w:separator/>
      </w:r>
    </w:p>
  </w:endnote>
  <w:endnote w:type="continuationSeparator" w:id="0">
    <w:p w:rsidR="00F67BE4" w:rsidRDefault="00F67BE4" w:rsidP="0075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93" w:rsidRPr="00877D93" w:rsidRDefault="00877D93" w:rsidP="002A627A">
    <w:pPr>
      <w:pStyle w:val="Rodap"/>
      <w:jc w:val="center"/>
      <w:rPr>
        <w:rFonts w:ascii="Times New Roman" w:hAnsi="Times New Roman" w:cs="Times New Roman"/>
        <w:i/>
        <w:sz w:val="10"/>
        <w:szCs w:val="10"/>
      </w:rPr>
    </w:pPr>
  </w:p>
  <w:p w:rsidR="0075300D" w:rsidRPr="002B43E5" w:rsidRDefault="00EE35F5">
    <w:pPr>
      <w:pStyle w:val="Rodap"/>
      <w:rPr>
        <w:lang w:val="en-US"/>
      </w:rPr>
    </w:pPr>
    <w:r w:rsidRPr="00EE35F5">
      <w:rPr>
        <w:lang w:val="en-US"/>
      </w:rPr>
      <w:drawing>
        <wp:inline distT="0" distB="0" distL="0" distR="0">
          <wp:extent cx="5386215" cy="551180"/>
          <wp:effectExtent l="0" t="0" r="5080" b="127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E4" w:rsidRDefault="00F67BE4" w:rsidP="0075300D">
      <w:pPr>
        <w:spacing w:after="0" w:line="240" w:lineRule="auto"/>
      </w:pPr>
      <w:r>
        <w:separator/>
      </w:r>
    </w:p>
  </w:footnote>
  <w:footnote w:type="continuationSeparator" w:id="0">
    <w:p w:rsidR="00F67BE4" w:rsidRDefault="00F67BE4" w:rsidP="0075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9533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1" o:spid="_x0000_s2057" type="#_x0000_t75" style="position:absolute;margin-left:0;margin-top:0;width:424.8pt;height:462pt;z-index:-251657728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0D" w:rsidRDefault="0075300D">
    <w:pPr>
      <w:pStyle w:val="Cabealho"/>
    </w:pPr>
  </w:p>
  <w:p w:rsidR="00877D93" w:rsidRDefault="00EE35F5">
    <w:pPr>
      <w:pStyle w:val="Cabealho"/>
    </w:pPr>
    <w:r w:rsidRPr="00EE35F5"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-146685</wp:posOffset>
          </wp:positionV>
          <wp:extent cx="6448425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6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7D93" w:rsidRDefault="00877D9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A" w:rsidRDefault="009533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0" o:spid="_x0000_s2056" type="#_x0000_t75" style="position:absolute;margin-left:0;margin-top:0;width:424.8pt;height:462pt;z-index:-251658752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1D"/>
    <w:multiLevelType w:val="hybridMultilevel"/>
    <w:tmpl w:val="17DA8D5A"/>
    <w:lvl w:ilvl="0" w:tplc="F8C67BE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EA0015"/>
    <w:multiLevelType w:val="hybridMultilevel"/>
    <w:tmpl w:val="A6105514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92A16"/>
    <w:multiLevelType w:val="hybridMultilevel"/>
    <w:tmpl w:val="93489B52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51F83"/>
    <w:multiLevelType w:val="hybridMultilevel"/>
    <w:tmpl w:val="03A4E678"/>
    <w:lvl w:ilvl="0" w:tplc="E480AE4A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300D"/>
    <w:rsid w:val="00001EA7"/>
    <w:rsid w:val="00005F3A"/>
    <w:rsid w:val="00015005"/>
    <w:rsid w:val="00021145"/>
    <w:rsid w:val="00035022"/>
    <w:rsid w:val="0003799F"/>
    <w:rsid w:val="00044041"/>
    <w:rsid w:val="000500D6"/>
    <w:rsid w:val="00052D9F"/>
    <w:rsid w:val="0007239B"/>
    <w:rsid w:val="00073C6A"/>
    <w:rsid w:val="00082545"/>
    <w:rsid w:val="00084FDC"/>
    <w:rsid w:val="00093F3A"/>
    <w:rsid w:val="00096348"/>
    <w:rsid w:val="000C0C14"/>
    <w:rsid w:val="000E4E73"/>
    <w:rsid w:val="000F5B17"/>
    <w:rsid w:val="00107DD6"/>
    <w:rsid w:val="00115AA7"/>
    <w:rsid w:val="00136DC8"/>
    <w:rsid w:val="00145BEF"/>
    <w:rsid w:val="00152708"/>
    <w:rsid w:val="00164B73"/>
    <w:rsid w:val="00182C0A"/>
    <w:rsid w:val="00184AF7"/>
    <w:rsid w:val="00185B0E"/>
    <w:rsid w:val="001E55D2"/>
    <w:rsid w:val="001E5BAD"/>
    <w:rsid w:val="001E5C7E"/>
    <w:rsid w:val="002016B1"/>
    <w:rsid w:val="00220D6C"/>
    <w:rsid w:val="002318E8"/>
    <w:rsid w:val="002434E4"/>
    <w:rsid w:val="00247FB7"/>
    <w:rsid w:val="002625F9"/>
    <w:rsid w:val="00270345"/>
    <w:rsid w:val="00270494"/>
    <w:rsid w:val="002740F5"/>
    <w:rsid w:val="00282175"/>
    <w:rsid w:val="00290F7A"/>
    <w:rsid w:val="002A5873"/>
    <w:rsid w:val="002A627A"/>
    <w:rsid w:val="002B2FF3"/>
    <w:rsid w:val="002B43E5"/>
    <w:rsid w:val="002C0918"/>
    <w:rsid w:val="002F22FE"/>
    <w:rsid w:val="002F4CFA"/>
    <w:rsid w:val="0030788E"/>
    <w:rsid w:val="003130A2"/>
    <w:rsid w:val="00313370"/>
    <w:rsid w:val="003339A5"/>
    <w:rsid w:val="003356FF"/>
    <w:rsid w:val="00346646"/>
    <w:rsid w:val="00347CF3"/>
    <w:rsid w:val="0035163F"/>
    <w:rsid w:val="003759E7"/>
    <w:rsid w:val="00383A53"/>
    <w:rsid w:val="00394289"/>
    <w:rsid w:val="003968BB"/>
    <w:rsid w:val="003B2620"/>
    <w:rsid w:val="003D0083"/>
    <w:rsid w:val="003D1992"/>
    <w:rsid w:val="003E7AEB"/>
    <w:rsid w:val="00425DDB"/>
    <w:rsid w:val="00436E69"/>
    <w:rsid w:val="00481EF4"/>
    <w:rsid w:val="004858B5"/>
    <w:rsid w:val="004A578A"/>
    <w:rsid w:val="004A6FDA"/>
    <w:rsid w:val="004D2537"/>
    <w:rsid w:val="004E48B6"/>
    <w:rsid w:val="004E7CDD"/>
    <w:rsid w:val="004F55F2"/>
    <w:rsid w:val="005046A3"/>
    <w:rsid w:val="0051158E"/>
    <w:rsid w:val="005153C5"/>
    <w:rsid w:val="005408FA"/>
    <w:rsid w:val="0059581A"/>
    <w:rsid w:val="0059714C"/>
    <w:rsid w:val="00601399"/>
    <w:rsid w:val="00614030"/>
    <w:rsid w:val="00626103"/>
    <w:rsid w:val="00664E75"/>
    <w:rsid w:val="00673FC3"/>
    <w:rsid w:val="0067427C"/>
    <w:rsid w:val="00682C20"/>
    <w:rsid w:val="00684EBD"/>
    <w:rsid w:val="00691282"/>
    <w:rsid w:val="006A432D"/>
    <w:rsid w:val="006A596B"/>
    <w:rsid w:val="006A5A20"/>
    <w:rsid w:val="006A5AB7"/>
    <w:rsid w:val="006B60F9"/>
    <w:rsid w:val="006D270E"/>
    <w:rsid w:val="006D7480"/>
    <w:rsid w:val="006E197E"/>
    <w:rsid w:val="00711D91"/>
    <w:rsid w:val="00722D78"/>
    <w:rsid w:val="00727CFB"/>
    <w:rsid w:val="00733A79"/>
    <w:rsid w:val="0075300D"/>
    <w:rsid w:val="0075382C"/>
    <w:rsid w:val="0076489F"/>
    <w:rsid w:val="00765EC3"/>
    <w:rsid w:val="007B2BD3"/>
    <w:rsid w:val="007C18E7"/>
    <w:rsid w:val="007D7862"/>
    <w:rsid w:val="007E537F"/>
    <w:rsid w:val="007E57CE"/>
    <w:rsid w:val="007E5AFF"/>
    <w:rsid w:val="007F163A"/>
    <w:rsid w:val="007F4F47"/>
    <w:rsid w:val="007F5CD7"/>
    <w:rsid w:val="0080540E"/>
    <w:rsid w:val="00824006"/>
    <w:rsid w:val="00833409"/>
    <w:rsid w:val="00846E26"/>
    <w:rsid w:val="00850BFC"/>
    <w:rsid w:val="00877D93"/>
    <w:rsid w:val="0089209A"/>
    <w:rsid w:val="00895EDA"/>
    <w:rsid w:val="00897522"/>
    <w:rsid w:val="008A18B2"/>
    <w:rsid w:val="008A2FE6"/>
    <w:rsid w:val="008A3A99"/>
    <w:rsid w:val="008B1CB0"/>
    <w:rsid w:val="008B6FEB"/>
    <w:rsid w:val="008C527D"/>
    <w:rsid w:val="008D371E"/>
    <w:rsid w:val="008E5509"/>
    <w:rsid w:val="008F40EE"/>
    <w:rsid w:val="00914CD2"/>
    <w:rsid w:val="009241D3"/>
    <w:rsid w:val="00937C86"/>
    <w:rsid w:val="00940085"/>
    <w:rsid w:val="009416C8"/>
    <w:rsid w:val="00946534"/>
    <w:rsid w:val="0095333E"/>
    <w:rsid w:val="009604BD"/>
    <w:rsid w:val="00960525"/>
    <w:rsid w:val="00962743"/>
    <w:rsid w:val="009936F3"/>
    <w:rsid w:val="00997A9C"/>
    <w:rsid w:val="009C07EA"/>
    <w:rsid w:val="009E5822"/>
    <w:rsid w:val="00A030DB"/>
    <w:rsid w:val="00A04ED9"/>
    <w:rsid w:val="00A32185"/>
    <w:rsid w:val="00A33E21"/>
    <w:rsid w:val="00A649BD"/>
    <w:rsid w:val="00A80272"/>
    <w:rsid w:val="00A80937"/>
    <w:rsid w:val="00A8682A"/>
    <w:rsid w:val="00A9615C"/>
    <w:rsid w:val="00AB3CF9"/>
    <w:rsid w:val="00AC06FE"/>
    <w:rsid w:val="00AD45A2"/>
    <w:rsid w:val="00AD6691"/>
    <w:rsid w:val="00AE500A"/>
    <w:rsid w:val="00AF219B"/>
    <w:rsid w:val="00AF57BF"/>
    <w:rsid w:val="00B00EEE"/>
    <w:rsid w:val="00B06F03"/>
    <w:rsid w:val="00B11C73"/>
    <w:rsid w:val="00B32449"/>
    <w:rsid w:val="00B40073"/>
    <w:rsid w:val="00B5502B"/>
    <w:rsid w:val="00B7440E"/>
    <w:rsid w:val="00B8217B"/>
    <w:rsid w:val="00B83D22"/>
    <w:rsid w:val="00B96C87"/>
    <w:rsid w:val="00B96FD9"/>
    <w:rsid w:val="00BA2279"/>
    <w:rsid w:val="00BA7495"/>
    <w:rsid w:val="00BB7BD3"/>
    <w:rsid w:val="00BC0E02"/>
    <w:rsid w:val="00BC396E"/>
    <w:rsid w:val="00BD20C6"/>
    <w:rsid w:val="00BD6C52"/>
    <w:rsid w:val="00BE1373"/>
    <w:rsid w:val="00C03CE7"/>
    <w:rsid w:val="00C06A12"/>
    <w:rsid w:val="00C0771C"/>
    <w:rsid w:val="00C141AF"/>
    <w:rsid w:val="00C25D60"/>
    <w:rsid w:val="00C30AB9"/>
    <w:rsid w:val="00C31449"/>
    <w:rsid w:val="00C3722A"/>
    <w:rsid w:val="00C44F02"/>
    <w:rsid w:val="00C5444D"/>
    <w:rsid w:val="00C72CB4"/>
    <w:rsid w:val="00C91A30"/>
    <w:rsid w:val="00C93699"/>
    <w:rsid w:val="00C96447"/>
    <w:rsid w:val="00CA4BCE"/>
    <w:rsid w:val="00CB30C6"/>
    <w:rsid w:val="00CD3D09"/>
    <w:rsid w:val="00CE1616"/>
    <w:rsid w:val="00CE606C"/>
    <w:rsid w:val="00D01F90"/>
    <w:rsid w:val="00D22847"/>
    <w:rsid w:val="00D25635"/>
    <w:rsid w:val="00D316A0"/>
    <w:rsid w:val="00D56729"/>
    <w:rsid w:val="00D84788"/>
    <w:rsid w:val="00DB57A8"/>
    <w:rsid w:val="00DC796E"/>
    <w:rsid w:val="00DD2EB5"/>
    <w:rsid w:val="00DE4015"/>
    <w:rsid w:val="00DF0A79"/>
    <w:rsid w:val="00DF48FF"/>
    <w:rsid w:val="00E12813"/>
    <w:rsid w:val="00E139B0"/>
    <w:rsid w:val="00E41FDA"/>
    <w:rsid w:val="00E50015"/>
    <w:rsid w:val="00E61224"/>
    <w:rsid w:val="00E71562"/>
    <w:rsid w:val="00E71BD1"/>
    <w:rsid w:val="00E747F5"/>
    <w:rsid w:val="00E76535"/>
    <w:rsid w:val="00EC315E"/>
    <w:rsid w:val="00ED01C6"/>
    <w:rsid w:val="00EE35F5"/>
    <w:rsid w:val="00EF5607"/>
    <w:rsid w:val="00F0128B"/>
    <w:rsid w:val="00F02183"/>
    <w:rsid w:val="00F22F84"/>
    <w:rsid w:val="00F254AF"/>
    <w:rsid w:val="00F27C43"/>
    <w:rsid w:val="00F33E16"/>
    <w:rsid w:val="00F6035C"/>
    <w:rsid w:val="00F603E0"/>
    <w:rsid w:val="00F63680"/>
    <w:rsid w:val="00F64C5C"/>
    <w:rsid w:val="00F67BE4"/>
    <w:rsid w:val="00F74146"/>
    <w:rsid w:val="00F754DF"/>
    <w:rsid w:val="00F90923"/>
    <w:rsid w:val="00F9144B"/>
    <w:rsid w:val="00F9562A"/>
    <w:rsid w:val="00FA0D7D"/>
    <w:rsid w:val="00FA1EB1"/>
    <w:rsid w:val="00FB4696"/>
    <w:rsid w:val="00FC4F7F"/>
    <w:rsid w:val="00FC6C35"/>
    <w:rsid w:val="00FD70A0"/>
    <w:rsid w:val="00FE561C"/>
    <w:rsid w:val="00FE741A"/>
    <w:rsid w:val="00FF11E3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2430-100C-4610-A439-509D2C9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Gabinete</cp:lastModifiedBy>
  <cp:revision>2</cp:revision>
  <cp:lastPrinted>2021-07-27T13:01:00Z</cp:lastPrinted>
  <dcterms:created xsi:type="dcterms:W3CDTF">2021-07-27T13:03:00Z</dcterms:created>
  <dcterms:modified xsi:type="dcterms:W3CDTF">2021-07-27T13:03:00Z</dcterms:modified>
</cp:coreProperties>
</file>